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E95B3" w14:textId="77777777" w:rsidR="00AB5AA4" w:rsidRDefault="00AB5AA4" w:rsidP="00AB5AA4">
      <w:pPr>
        <w:tabs>
          <w:tab w:val="right" w:pos="8838"/>
        </w:tabs>
        <w:jc w:val="center"/>
        <w:rPr>
          <w:b/>
          <w:sz w:val="48"/>
          <w:szCs w:val="48"/>
        </w:rPr>
      </w:pPr>
      <w:r w:rsidRPr="00D37834"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 wp14:anchorId="6FEF1D87" wp14:editId="434CBE8D">
            <wp:simplePos x="0" y="0"/>
            <wp:positionH relativeFrom="page">
              <wp:posOffset>3267075</wp:posOffset>
            </wp:positionH>
            <wp:positionV relativeFrom="paragraph">
              <wp:posOffset>-165100</wp:posOffset>
            </wp:positionV>
            <wp:extent cx="1066800" cy="542925"/>
            <wp:effectExtent l="0" t="0" r="0" b="9525"/>
            <wp:wrapNone/>
            <wp:docPr id="7" name="Imagem 7" descr="Logotipo&#10;&#10;Descrição gerada automaticamente com confiança baix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Logotipo&#10;&#10;Descrição gerada automaticamente com confiança baixa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B1E6E5" w14:textId="77777777" w:rsidR="00AB5AA4" w:rsidRDefault="00AB5AA4" w:rsidP="00AB5AA4">
      <w:pPr>
        <w:pBdr>
          <w:top w:val="nil"/>
          <w:left w:val="nil"/>
          <w:bottom w:val="nil"/>
          <w:right w:val="nil"/>
          <w:between w:val="nil"/>
        </w:pBdr>
        <w:tabs>
          <w:tab w:val="right" w:pos="8838"/>
        </w:tabs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Centro Universitário </w:t>
      </w:r>
      <w:proofErr w:type="spellStart"/>
      <w:r>
        <w:rPr>
          <w:b/>
          <w:color w:val="000000"/>
          <w:sz w:val="36"/>
          <w:szCs w:val="36"/>
        </w:rPr>
        <w:t>Processus</w:t>
      </w:r>
      <w:proofErr w:type="spellEnd"/>
    </w:p>
    <w:p w14:paraId="7AF3A432" w14:textId="77777777" w:rsidR="00AB5AA4" w:rsidRDefault="00AB5AA4" w:rsidP="00AB5AA4">
      <w:pPr>
        <w:pBdr>
          <w:top w:val="nil"/>
          <w:left w:val="nil"/>
          <w:bottom w:val="nil"/>
          <w:right w:val="nil"/>
          <w:between w:val="nil"/>
        </w:pBdr>
        <w:tabs>
          <w:tab w:val="center" w:pos="-570"/>
        </w:tabs>
        <w:jc w:val="center"/>
      </w:pPr>
      <w:r>
        <w:t>PORTARIA Nº 282, DE 14 DE ABRIL DE 2022</w:t>
      </w:r>
    </w:p>
    <w:p w14:paraId="227F37D9" w14:textId="5BB057F6" w:rsidR="00AB5AA4" w:rsidRDefault="00AB5AA4">
      <w:pPr>
        <w:rPr>
          <w:color w:val="303233"/>
          <w:sz w:val="24"/>
          <w:szCs w:val="24"/>
        </w:rPr>
      </w:pPr>
    </w:p>
    <w:p w14:paraId="172B5E92" w14:textId="75D7D796" w:rsidR="00AB5AA4" w:rsidRDefault="00AB5AA4">
      <w:pPr>
        <w:rPr>
          <w:color w:val="303233"/>
          <w:sz w:val="24"/>
          <w:szCs w:val="24"/>
        </w:rPr>
      </w:pPr>
    </w:p>
    <w:p w14:paraId="74767972" w14:textId="77777777" w:rsidR="00AB5AA4" w:rsidRDefault="00AB5AA4">
      <w:pPr>
        <w:rPr>
          <w:color w:val="303233"/>
          <w:sz w:val="24"/>
          <w:szCs w:val="24"/>
        </w:rPr>
      </w:pPr>
    </w:p>
    <w:p w14:paraId="3F74FFC8" w14:textId="13D0C854" w:rsidR="00AB5AA4" w:rsidRPr="00AB5AA4" w:rsidRDefault="00AB5AA4" w:rsidP="00AB5AA4">
      <w:pPr>
        <w:jc w:val="center"/>
        <w:rPr>
          <w:color w:val="303233"/>
          <w:sz w:val="40"/>
          <w:szCs w:val="40"/>
        </w:rPr>
      </w:pPr>
      <w:r w:rsidRPr="00AB5AA4">
        <w:rPr>
          <w:color w:val="303233"/>
          <w:sz w:val="40"/>
          <w:szCs w:val="40"/>
        </w:rPr>
        <w:t xml:space="preserve">Atividade Extensionista: Governança e </w:t>
      </w:r>
      <w:proofErr w:type="spellStart"/>
      <w:r w:rsidRPr="00AB5AA4">
        <w:rPr>
          <w:color w:val="303233"/>
          <w:sz w:val="40"/>
          <w:szCs w:val="40"/>
        </w:rPr>
        <w:t>Compliance</w:t>
      </w:r>
      <w:proofErr w:type="spellEnd"/>
    </w:p>
    <w:p w14:paraId="45DA3EC3" w14:textId="31084449" w:rsidR="00AB5AA4" w:rsidRDefault="00AB5AA4">
      <w:pPr>
        <w:rPr>
          <w:color w:val="303233"/>
          <w:sz w:val="24"/>
          <w:szCs w:val="24"/>
        </w:rPr>
      </w:pPr>
    </w:p>
    <w:p w14:paraId="253081A8" w14:textId="77777777" w:rsidR="00F75964" w:rsidRDefault="00F75964">
      <w:pPr>
        <w:rPr>
          <w:color w:val="303233"/>
          <w:sz w:val="24"/>
          <w:szCs w:val="24"/>
        </w:rPr>
      </w:pPr>
    </w:p>
    <w:p w14:paraId="7161A6B5" w14:textId="6E03BFD4" w:rsidR="00AB5AA4" w:rsidRPr="00AB5AA4" w:rsidRDefault="00AB5AA4" w:rsidP="00AB5AA4">
      <w:pPr>
        <w:jc w:val="center"/>
        <w:rPr>
          <w:color w:val="303233"/>
          <w:sz w:val="56"/>
          <w:szCs w:val="56"/>
        </w:rPr>
      </w:pPr>
      <w:r w:rsidRPr="00AB5AA4">
        <w:rPr>
          <w:color w:val="303233"/>
          <w:sz w:val="56"/>
          <w:szCs w:val="56"/>
        </w:rPr>
        <w:t>Investimentos para Aposentadoria:</w:t>
      </w:r>
    </w:p>
    <w:p w14:paraId="1F0363E8" w14:textId="007D62CB" w:rsidR="00AB5AA4" w:rsidRPr="00AB5AA4" w:rsidRDefault="00AB5AA4" w:rsidP="00AB5AA4">
      <w:pPr>
        <w:jc w:val="center"/>
        <w:rPr>
          <w:color w:val="303233"/>
          <w:sz w:val="56"/>
          <w:szCs w:val="56"/>
        </w:rPr>
      </w:pPr>
      <w:r w:rsidRPr="00AB5AA4">
        <w:rPr>
          <w:color w:val="303233"/>
          <w:sz w:val="56"/>
          <w:szCs w:val="56"/>
        </w:rPr>
        <w:t>Construindo seu Futuro Financeiro</w:t>
      </w:r>
    </w:p>
    <w:p w14:paraId="0FB86560" w14:textId="3015DE0E" w:rsidR="00F75964" w:rsidRDefault="00F75964">
      <w:pPr>
        <w:rPr>
          <w:color w:val="303233"/>
          <w:sz w:val="24"/>
          <w:szCs w:val="24"/>
        </w:rPr>
      </w:pPr>
      <w:bookmarkStart w:id="0" w:name="_GoBack"/>
      <w:bookmarkEnd w:id="0"/>
    </w:p>
    <w:p w14:paraId="51F4922E" w14:textId="2E98D969" w:rsidR="00F75964" w:rsidRDefault="00F75964">
      <w:pPr>
        <w:rPr>
          <w:color w:val="303233"/>
          <w:sz w:val="24"/>
          <w:szCs w:val="24"/>
        </w:rPr>
      </w:pPr>
    </w:p>
    <w:p w14:paraId="38D95DCC" w14:textId="05F02DFC" w:rsidR="00F75964" w:rsidRDefault="00F75964">
      <w:pPr>
        <w:rPr>
          <w:color w:val="303233"/>
          <w:sz w:val="24"/>
          <w:szCs w:val="24"/>
        </w:rPr>
      </w:pPr>
    </w:p>
    <w:p w14:paraId="5CA11192" w14:textId="2A2BE93A" w:rsidR="00AB5AA4" w:rsidRDefault="00AB5AA4">
      <w:pPr>
        <w:rPr>
          <w:color w:val="303233"/>
          <w:sz w:val="24"/>
          <w:szCs w:val="24"/>
        </w:rPr>
      </w:pPr>
    </w:p>
    <w:p w14:paraId="19FC80B8" w14:textId="162C9253" w:rsidR="00F75964" w:rsidRDefault="00F75964" w:rsidP="00F75964">
      <w:pPr>
        <w:autoSpaceDE w:val="0"/>
        <w:autoSpaceDN w:val="0"/>
        <w:adjustRightInd w:val="0"/>
        <w:spacing w:after="0" w:line="240" w:lineRule="auto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Professor Orientador: Victor Rabelo Brito</w:t>
      </w:r>
    </w:p>
    <w:p w14:paraId="35CBCD0A" w14:textId="77777777" w:rsidR="00F75964" w:rsidRDefault="00F75964" w:rsidP="00F75964">
      <w:pPr>
        <w:autoSpaceDE w:val="0"/>
        <w:autoSpaceDN w:val="0"/>
        <w:adjustRightInd w:val="0"/>
        <w:spacing w:after="0" w:line="240" w:lineRule="auto"/>
        <w:ind w:firstLine="1418"/>
        <w:rPr>
          <w:rFonts w:ascii="Arial" w:eastAsia="CIDFont+F2" w:hAnsi="Arial" w:cs="Arial"/>
          <w:sz w:val="24"/>
          <w:szCs w:val="24"/>
        </w:rPr>
      </w:pPr>
    </w:p>
    <w:p w14:paraId="06E2C353" w14:textId="13A4D6A9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Alunos:</w:t>
      </w:r>
    </w:p>
    <w:p w14:paraId="446C0EA2" w14:textId="70E0E728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Ana Cristina Fernandes de Souza</w:t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Matrícula:2313180000003</w:t>
      </w:r>
    </w:p>
    <w:p w14:paraId="007A41A2" w14:textId="5F66DC71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Ana Luísa Chaves Ribeiro Nascimento</w:t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Matrícula:2513180000067</w:t>
      </w:r>
    </w:p>
    <w:p w14:paraId="6D34A317" w14:textId="43341579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proofErr w:type="spellStart"/>
      <w:r w:rsidRPr="00F75964">
        <w:rPr>
          <w:rFonts w:ascii="Arial" w:eastAsia="CIDFont+F2" w:hAnsi="Arial" w:cs="Arial"/>
          <w:sz w:val="24"/>
          <w:szCs w:val="24"/>
        </w:rPr>
        <w:t>Evellyn</w:t>
      </w:r>
      <w:proofErr w:type="spellEnd"/>
      <w:r w:rsidRPr="00F75964">
        <w:rPr>
          <w:rFonts w:ascii="Arial" w:eastAsia="CIDFont+F2" w:hAnsi="Arial" w:cs="Arial"/>
          <w:sz w:val="24"/>
          <w:szCs w:val="24"/>
        </w:rPr>
        <w:t xml:space="preserve"> </w:t>
      </w:r>
      <w:proofErr w:type="spellStart"/>
      <w:r w:rsidRPr="00F75964">
        <w:rPr>
          <w:rFonts w:ascii="Arial" w:eastAsia="CIDFont+F2" w:hAnsi="Arial" w:cs="Arial"/>
          <w:sz w:val="24"/>
          <w:szCs w:val="24"/>
        </w:rPr>
        <w:t>Catharine</w:t>
      </w:r>
      <w:proofErr w:type="spellEnd"/>
      <w:r w:rsidRPr="00F75964">
        <w:rPr>
          <w:rFonts w:ascii="Arial" w:eastAsia="CIDFont+F2" w:hAnsi="Arial" w:cs="Arial"/>
          <w:sz w:val="24"/>
          <w:szCs w:val="24"/>
        </w:rPr>
        <w:t xml:space="preserve"> Mello da Gama</w:t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Matricula:2313180000155</w:t>
      </w:r>
    </w:p>
    <w:p w14:paraId="17618EE3" w14:textId="0D1E1A93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Gibson Gonçalves de Lima Junior</w:t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Matrícula:2123180000084</w:t>
      </w:r>
    </w:p>
    <w:p w14:paraId="14B35E47" w14:textId="7100B8C5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Leonardo Bruno Ferreira Gregorim</w:t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Matrícula:2323180000132</w:t>
      </w:r>
    </w:p>
    <w:p w14:paraId="40348C08" w14:textId="7EAC4EC3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Letícia Matos de Jesus</w:t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Matrícula:2513180000090</w:t>
      </w:r>
    </w:p>
    <w:p w14:paraId="3AECD843" w14:textId="40D254BB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Miguel Holanda de Medeiros</w:t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Matrícula:2523180000031</w:t>
      </w:r>
    </w:p>
    <w:p w14:paraId="2B315583" w14:textId="0834BAD9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 xml:space="preserve">Nicolle </w:t>
      </w:r>
      <w:proofErr w:type="spellStart"/>
      <w:r w:rsidRPr="00F75964">
        <w:rPr>
          <w:rFonts w:ascii="Arial" w:eastAsia="CIDFont+F2" w:hAnsi="Arial" w:cs="Arial"/>
          <w:sz w:val="24"/>
          <w:szCs w:val="24"/>
        </w:rPr>
        <w:t>Ossovski</w:t>
      </w:r>
      <w:proofErr w:type="spellEnd"/>
      <w:r w:rsidRPr="00F75964">
        <w:rPr>
          <w:rFonts w:ascii="Arial" w:eastAsia="CIDFont+F2" w:hAnsi="Arial" w:cs="Arial"/>
          <w:sz w:val="24"/>
          <w:szCs w:val="24"/>
        </w:rPr>
        <w:t xml:space="preserve"> Barros</w:t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Matrícula:2153180000100</w:t>
      </w:r>
    </w:p>
    <w:p w14:paraId="1EAA4DE5" w14:textId="190178D0" w:rsidR="00F75964" w:rsidRPr="00F75964" w:rsidRDefault="00F75964" w:rsidP="00F75964">
      <w:pPr>
        <w:autoSpaceDE w:val="0"/>
        <w:autoSpaceDN w:val="0"/>
        <w:adjustRightInd w:val="0"/>
        <w:spacing w:after="0" w:line="240" w:lineRule="auto"/>
        <w:ind w:firstLine="851"/>
        <w:rPr>
          <w:rFonts w:ascii="Arial" w:eastAsia="CIDFont+F2" w:hAnsi="Arial" w:cs="Arial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Ryan Alves de Morais</w:t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Matrícula:2513180000111</w:t>
      </w:r>
    </w:p>
    <w:p w14:paraId="719F3214" w14:textId="799A56FE" w:rsidR="00AB5AA4" w:rsidRPr="00F75964" w:rsidRDefault="00F75964" w:rsidP="00F75964">
      <w:pPr>
        <w:ind w:firstLine="851"/>
        <w:rPr>
          <w:rFonts w:ascii="Arial" w:hAnsi="Arial" w:cs="Arial"/>
          <w:color w:val="303233"/>
          <w:sz w:val="24"/>
          <w:szCs w:val="24"/>
        </w:rPr>
      </w:pPr>
      <w:r w:rsidRPr="00F75964">
        <w:rPr>
          <w:rFonts w:ascii="Arial" w:eastAsia="CIDFont+F2" w:hAnsi="Arial" w:cs="Arial"/>
          <w:sz w:val="24"/>
          <w:szCs w:val="24"/>
        </w:rPr>
        <w:t>Thiago Mendonça de Castro</w:t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>
        <w:rPr>
          <w:rFonts w:ascii="Arial" w:eastAsia="CIDFont+F2" w:hAnsi="Arial" w:cs="Arial"/>
          <w:sz w:val="24"/>
          <w:szCs w:val="24"/>
        </w:rPr>
        <w:tab/>
      </w:r>
      <w:r w:rsidRPr="00F75964">
        <w:rPr>
          <w:rFonts w:ascii="Arial" w:eastAsia="CIDFont+F2" w:hAnsi="Arial" w:cs="Arial"/>
          <w:sz w:val="24"/>
          <w:szCs w:val="24"/>
        </w:rPr>
        <w:t>Matrícula:2513180000105</w:t>
      </w:r>
    </w:p>
    <w:p w14:paraId="5C012EB8" w14:textId="346A28E8" w:rsidR="00AB5AA4" w:rsidRDefault="00AB5AA4">
      <w:pPr>
        <w:rPr>
          <w:color w:val="303233"/>
          <w:sz w:val="24"/>
          <w:szCs w:val="24"/>
        </w:rPr>
      </w:pPr>
    </w:p>
    <w:p w14:paraId="13E5A318" w14:textId="77777777" w:rsidR="00AB5AA4" w:rsidRDefault="00AB5AA4">
      <w:pPr>
        <w:rPr>
          <w:color w:val="303233"/>
          <w:sz w:val="24"/>
          <w:szCs w:val="24"/>
        </w:rPr>
      </w:pPr>
    </w:p>
    <w:p w14:paraId="19CF47CE" w14:textId="54C7E694" w:rsidR="00AB5AA4" w:rsidRDefault="00424955">
      <w:pPr>
        <w:rPr>
          <w:rFonts w:ascii="Times New Roman" w:eastAsia="Times New Roman" w:hAnsi="Times New Roman" w:cs="Times New Roman"/>
          <w:b/>
          <w:bCs/>
          <w:color w:val="303233"/>
          <w:sz w:val="24"/>
          <w:szCs w:val="24"/>
          <w:lang w:eastAsia="pt-BR"/>
        </w:rPr>
      </w:pPr>
      <w:r>
        <w:rPr>
          <w:color w:val="303233"/>
          <w:sz w:val="24"/>
          <w:szCs w:val="24"/>
        </w:rPr>
        <w:br w:type="page"/>
      </w:r>
    </w:p>
    <w:p w14:paraId="63782821" w14:textId="0C7B92B1" w:rsidR="00ED6877" w:rsidRPr="00ED6877" w:rsidRDefault="00ED6877" w:rsidP="00ED6877">
      <w:pPr>
        <w:pStyle w:val="Ttulo2"/>
        <w:shd w:val="clear" w:color="auto" w:fill="FFFFFF"/>
        <w:rPr>
          <w:color w:val="303233"/>
          <w:sz w:val="24"/>
          <w:szCs w:val="24"/>
        </w:rPr>
      </w:pPr>
      <w:r>
        <w:rPr>
          <w:color w:val="303233"/>
          <w:sz w:val="24"/>
          <w:szCs w:val="24"/>
        </w:rPr>
        <w:lastRenderedPageBreak/>
        <w:t>APRESENTAÇÃO</w:t>
      </w:r>
      <w:r w:rsidRPr="00ED6877">
        <w:rPr>
          <w:color w:val="303233"/>
          <w:sz w:val="24"/>
          <w:szCs w:val="24"/>
        </w:rPr>
        <w:t xml:space="preserve"> FINAL ACADÊMICO: INVESTIMENTOS PARA APOSENTADORIA DE INICIANTES</w:t>
      </w:r>
    </w:p>
    <w:p w14:paraId="13A8533B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1. RESUMO EXECUTIVO</w:t>
      </w:r>
    </w:p>
    <w:p w14:paraId="3B8DBEB9" w14:textId="1F4EB212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 xml:space="preserve">Este relatório apresenta os resultados de um projeto focado em democratizar o acesso a informações sobre investimentos seguros e acessíveis para iniciantes, visando a construção de uma aposentadoria financeiramente estável. Diante da crescente preocupação com a previdência pública e a lacuna de conhecimento financeiro, o projeto desenvolveu uma metodologia que incluiu pesquisa aprofundada, a criação de uma cartilha educativa detalhada, um simulador interativo em Excel e uma série de podcasts. </w:t>
      </w:r>
      <w:r>
        <w:rPr>
          <w:color w:val="3B3C3D"/>
        </w:rPr>
        <w:tab/>
      </w:r>
      <w:r w:rsidR="00ED6877" w:rsidRPr="00ED6877">
        <w:rPr>
          <w:color w:val="3B3C3D"/>
        </w:rPr>
        <w:t>Os principais resultados incluem a identificação e comparação de investimentos como Tesouro Direto, CDBs, LCI/LCA, Previdência Privada e Ações com Dividendos, com simulações de longo prazo que demonstram o potencial de acumulação de capital. O projeto enfrentou o desafio de filtrar informações fidedignas de conteúdos comerciais, garantindo a imparcialidade e a confiabilidade do material produzido.</w:t>
      </w:r>
    </w:p>
    <w:p w14:paraId="47DA9334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2. INTRODUÇÃO E CONTEXTUALIZAÇÃO</w:t>
      </w:r>
    </w:p>
    <w:p w14:paraId="274DFD1F" w14:textId="2912121D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A sustentabilidade da previdência pública brasileira tem sido objeto de intensos debates e reformas, gerando incertezas quanto à segurança financeira na aposentadoria para as futuras gerações. Paralelamente, a instabilidade econômica e a complexidade do mercado financeiro brasileiro reforçam a necessidade premente de planejamento financeiro individual. Contudo, uma parcela significativa da população, especialmente os iniciantes, carece de conhecimento e orientação sobre como começar a investir de forma segura e eficaz. Essa lacuna de conhecimento impede muitos de construir um futuro financeiro sólido, tornando essencial a oferta de ferramentas e informações acessíveis que capacitem os indivíduos a tomar decisões financeiras conscientes e autônomas.</w:t>
      </w:r>
    </w:p>
    <w:p w14:paraId="75F44FD2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3. OBJETIVO GERAL</w:t>
      </w:r>
    </w:p>
    <w:p w14:paraId="38A72905" w14:textId="354DB781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Apresentar opções de investimentos seguros e acessíveis para iniciantes, com foco na construção de uma aposentadoria financeiramente estável e sustentável a longo prazo.</w:t>
      </w:r>
    </w:p>
    <w:p w14:paraId="7FDD76DC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4. OBJETIVOS ESPECÍFICOS</w:t>
      </w:r>
    </w:p>
    <w:p w14:paraId="6E25D227" w14:textId="5D859278" w:rsidR="00ED6877" w:rsidRDefault="00ED6877" w:rsidP="00ED6877">
      <w:pPr>
        <w:pStyle w:val="py-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Identificar os principais tipos de investimentos de baixo risco</w:t>
      </w:r>
      <w:r w:rsidRPr="00ED6877">
        <w:rPr>
          <w:color w:val="3B3C3D"/>
        </w:rPr>
        <w:t> disponíveis no mercado brasileiro, como Tesouro Direto, CDBs, fundos conservadores e previdência privada.</w:t>
      </w:r>
    </w:p>
    <w:p w14:paraId="6850E9D8" w14:textId="77777777" w:rsidR="00AB5AA4" w:rsidRPr="00ED6877" w:rsidRDefault="00AB5AA4" w:rsidP="00AB5AA4">
      <w:pPr>
        <w:pStyle w:val="py-0"/>
        <w:shd w:val="clear" w:color="auto" w:fill="FFFFFF"/>
        <w:spacing w:before="0" w:beforeAutospacing="0" w:after="0" w:afterAutospacing="0"/>
        <w:ind w:left="720"/>
        <w:jc w:val="both"/>
        <w:rPr>
          <w:color w:val="3B3C3D"/>
        </w:rPr>
      </w:pPr>
    </w:p>
    <w:p w14:paraId="3BFC024D" w14:textId="03280506" w:rsidR="00ED6877" w:rsidRDefault="00ED6877" w:rsidP="00ED6877">
      <w:pPr>
        <w:pStyle w:val="py-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Identificar o perfil do investidor iniciante</w:t>
      </w:r>
      <w:r w:rsidRPr="00ED6877">
        <w:rPr>
          <w:color w:val="3B3C3D"/>
        </w:rPr>
        <w:t>, considerando fatores como idade, renda, tolerância ao risco e horizonte de tempo para a aposentadoria.</w:t>
      </w:r>
    </w:p>
    <w:p w14:paraId="31556CD4" w14:textId="77777777" w:rsidR="00AB5AA4" w:rsidRPr="00ED6877" w:rsidRDefault="00AB5AA4" w:rsidP="00AB5AA4">
      <w:pPr>
        <w:pStyle w:val="py-0"/>
        <w:shd w:val="clear" w:color="auto" w:fill="FFFFFF"/>
        <w:spacing w:before="0" w:beforeAutospacing="0" w:after="0" w:afterAutospacing="0"/>
        <w:ind w:left="720"/>
        <w:jc w:val="both"/>
        <w:rPr>
          <w:color w:val="3B3C3D"/>
        </w:rPr>
      </w:pPr>
    </w:p>
    <w:p w14:paraId="4DF11F9C" w14:textId="2CA35BFD" w:rsidR="00ED6877" w:rsidRDefault="00ED6877" w:rsidP="00ED6877">
      <w:pPr>
        <w:pStyle w:val="py-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Comparar a rentabilidade, liquidez e segurança dos investimentos seguros</w:t>
      </w:r>
      <w:r w:rsidRPr="00ED6877">
        <w:rPr>
          <w:color w:val="3B3C3D"/>
        </w:rPr>
        <w:t>, destacando suas vantagens e desvantagens para o público iniciante.</w:t>
      </w:r>
    </w:p>
    <w:p w14:paraId="120CD513" w14:textId="77777777" w:rsidR="00AB5AA4" w:rsidRPr="00ED6877" w:rsidRDefault="00AB5AA4" w:rsidP="00AB5AA4">
      <w:pPr>
        <w:pStyle w:val="py-0"/>
        <w:shd w:val="clear" w:color="auto" w:fill="FFFFFF"/>
        <w:spacing w:before="0" w:beforeAutospacing="0" w:after="0" w:afterAutospacing="0"/>
        <w:ind w:left="720"/>
        <w:jc w:val="both"/>
        <w:rPr>
          <w:color w:val="3B3C3D"/>
        </w:rPr>
      </w:pPr>
    </w:p>
    <w:p w14:paraId="36568322" w14:textId="0B11B1E4" w:rsidR="00ED6877" w:rsidRDefault="00ED6877" w:rsidP="00ED6877">
      <w:pPr>
        <w:pStyle w:val="py-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Elaborar uma cartilha ou guia prático</w:t>
      </w:r>
      <w:r w:rsidRPr="00ED6877">
        <w:rPr>
          <w:color w:val="3B3C3D"/>
        </w:rPr>
        <w:t> com orientações básicas de como começar a investir, incluindo passo a passo para abertura de conta em corretoras, definição de metas e acompanhamento dos investimentos.</w:t>
      </w:r>
    </w:p>
    <w:p w14:paraId="3F92E1C9" w14:textId="77777777" w:rsidR="00AB5AA4" w:rsidRDefault="00AB5AA4" w:rsidP="00AB5AA4">
      <w:pPr>
        <w:pStyle w:val="PargrafodaLista"/>
        <w:rPr>
          <w:color w:val="3B3C3D"/>
        </w:rPr>
      </w:pPr>
    </w:p>
    <w:p w14:paraId="2FF17290" w14:textId="77777777" w:rsidR="00ED6877" w:rsidRPr="00ED6877" w:rsidRDefault="00ED6877" w:rsidP="00ED6877">
      <w:pPr>
        <w:pStyle w:val="py-0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lastRenderedPageBreak/>
        <w:t>Promover a educação financeira</w:t>
      </w:r>
      <w:r w:rsidRPr="00ED6877">
        <w:rPr>
          <w:color w:val="3B3C3D"/>
        </w:rPr>
        <w:t> como ferramenta de planejamento de longo prazo (por meio de podcast e panfletagem), incentivando a cultura do investimento consciente e da autonomia financeira.</w:t>
      </w:r>
    </w:p>
    <w:p w14:paraId="5CC4D587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5. JUSTIFICATIVA</w:t>
      </w:r>
    </w:p>
    <w:p w14:paraId="0640865F" w14:textId="582DA6E3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A crescente preocupação com a sustentabilidade da previdência pública no Brasil e a instabilidade econômica reforçam a importância do planejamento financeiro individual. Muitos brasileiros, especialmente os mais jovens ou com pouca educação financeira, não sabem por onde começar a investir visando a aposentadoria. Assim, este projeto se justifica pela necessidade de oferecer informações claras, acessíveis e seguras sobre opções de investimento de baixo risco, que possam ser compreendidas e utilizadas por iniciantes. Promover esse conhecimento contribui diretamente para a construção de um futuro financeiro mais seguro e para o desenvolvimento de uma cultura de responsabilidade e independência financeira desde cedo.</w:t>
      </w:r>
    </w:p>
    <w:p w14:paraId="746F9452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6. METODOLOGIA</w:t>
      </w:r>
    </w:p>
    <w:p w14:paraId="7799F543" w14:textId="7C0B4A48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A metodologia do projeto foi estruturada em três pilares principais para garantir a abrangência e a acessibilidade do conteúdo:</w:t>
      </w:r>
    </w:p>
    <w:p w14:paraId="686305B2" w14:textId="4F83C8A4" w:rsidR="00ED6877" w:rsidRDefault="00ED6877" w:rsidP="00ED6877">
      <w:pPr>
        <w:pStyle w:val="py-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Pesquisa dos principais produtos de investimento:</w:t>
      </w:r>
      <w:r w:rsidRPr="00ED6877">
        <w:rPr>
          <w:color w:val="3B3C3D"/>
        </w:rPr>
        <w:t> Realizou-se uma pesquisa aprofundada sobre os investimentos de baixo risco disponíveis no mercado brasileiro, focando em Tesouro Direto, CDBs, LCI/LCA, Previdência Privada (PGBL e VGBL) e Ações com Dividendos, analisando suas características, rentabilidade histórica, liquidez, segurança e tributação.</w:t>
      </w:r>
    </w:p>
    <w:p w14:paraId="0DB52B26" w14:textId="77777777" w:rsidR="00AB5AA4" w:rsidRPr="00ED6877" w:rsidRDefault="00AB5AA4" w:rsidP="00AB5AA4">
      <w:pPr>
        <w:pStyle w:val="py-0"/>
        <w:shd w:val="clear" w:color="auto" w:fill="FFFFFF"/>
        <w:spacing w:before="0" w:beforeAutospacing="0" w:after="0" w:afterAutospacing="0"/>
        <w:ind w:left="720"/>
        <w:jc w:val="both"/>
        <w:rPr>
          <w:color w:val="3B3C3D"/>
        </w:rPr>
      </w:pPr>
    </w:p>
    <w:p w14:paraId="39DE6F55" w14:textId="7A451609" w:rsidR="00ED6877" w:rsidRDefault="00ED6877" w:rsidP="00ED6877">
      <w:pPr>
        <w:pStyle w:val="py-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Desenvolvimento de cartilha educativa com</w:t>
      </w:r>
      <w:r w:rsidR="00B309C5">
        <w:rPr>
          <w:rStyle w:val="font-semibold"/>
          <w:b/>
          <w:bCs/>
          <w:color w:val="3B3C3D"/>
        </w:rPr>
        <w:t xml:space="preserve"> planilha eletrônica para</w:t>
      </w:r>
      <w:r w:rsidRPr="00ED6877">
        <w:rPr>
          <w:rStyle w:val="font-semibold"/>
          <w:b/>
          <w:bCs/>
          <w:color w:val="3B3C3D"/>
        </w:rPr>
        <w:t xml:space="preserve"> simulações:</w:t>
      </w:r>
      <w:r w:rsidRPr="00ED6877">
        <w:rPr>
          <w:color w:val="3B3C3D"/>
        </w:rPr>
        <w:t> Com base na pesquisa, foi elaborada uma cartilha detalhada, com linguagem clara e acessível, contendo glossário, explicações sobre cada tipo de investimento, suas vantagens e desvantagens, e um comparativo final. A cartilha incluiu simulações de cenários de longo prazo para ilustrar o potencial de acumulação de capital.</w:t>
      </w:r>
      <w:r w:rsidR="00B309C5">
        <w:rPr>
          <w:color w:val="3B3C3D"/>
        </w:rPr>
        <w:t xml:space="preserve"> Também foi disponibilizado uma planilha eletrônica para simular</w:t>
      </w:r>
      <w:r w:rsidR="00A55CD5">
        <w:rPr>
          <w:color w:val="3B3C3D"/>
        </w:rPr>
        <w:t xml:space="preserve"> o capital acumulado conforme investimento e tempo escolhido.</w:t>
      </w:r>
    </w:p>
    <w:p w14:paraId="476B512E" w14:textId="77777777" w:rsidR="00AB5AA4" w:rsidRPr="00ED6877" w:rsidRDefault="00AB5AA4" w:rsidP="00AB5AA4">
      <w:pPr>
        <w:pStyle w:val="py-0"/>
        <w:shd w:val="clear" w:color="auto" w:fill="FFFFFF"/>
        <w:spacing w:before="0" w:beforeAutospacing="0" w:after="0" w:afterAutospacing="0"/>
        <w:ind w:left="720"/>
        <w:jc w:val="both"/>
        <w:rPr>
          <w:color w:val="3B3C3D"/>
        </w:rPr>
      </w:pPr>
    </w:p>
    <w:p w14:paraId="2561D869" w14:textId="47754E40" w:rsidR="00ED6877" w:rsidRPr="00ED6877" w:rsidRDefault="00ED6877" w:rsidP="00ED6877">
      <w:pPr>
        <w:pStyle w:val="py-0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Produção de série de podcast educativo:</w:t>
      </w:r>
      <w:r w:rsidRPr="00ED6877">
        <w:rPr>
          <w:color w:val="3B3C3D"/>
        </w:rPr>
        <w:t xml:space="preserve"> Para complementar a cartilha e alcançar um público mais amplo, foi produzida </w:t>
      </w:r>
      <w:r w:rsidR="00A55CD5">
        <w:rPr>
          <w:color w:val="3B3C3D"/>
        </w:rPr>
        <w:t>um</w:t>
      </w:r>
      <w:r w:rsidRPr="00ED6877">
        <w:rPr>
          <w:color w:val="3B3C3D"/>
        </w:rPr>
        <w:t xml:space="preserve"> podcast, abordando os mesmos temas de forma dinâmica e prática, facilitando a compreensão e o engajamento dos ouvintes.</w:t>
      </w:r>
    </w:p>
    <w:p w14:paraId="35B80764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7. MATERIAIS OBTIDOS</w:t>
      </w:r>
    </w:p>
    <w:p w14:paraId="70005999" w14:textId="36ABE8B5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O projeto resultou na produção e compilação de três materiais educativos principais, projetados para atender às diversas preferências de aprendizado do público iniciante:</w:t>
      </w:r>
    </w:p>
    <w:p w14:paraId="587A2D5B" w14:textId="77777777" w:rsidR="00ED6877" w:rsidRPr="00ED6877" w:rsidRDefault="00ED6877" w:rsidP="00AB5AA4">
      <w:pPr>
        <w:pStyle w:val="py-0"/>
        <w:shd w:val="clear" w:color="auto" w:fill="FFFFFF"/>
        <w:spacing w:before="0" w:beforeAutospacing="0" w:after="0" w:afterAutospacing="0"/>
        <w:ind w:left="72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a) CARTILHA DE INVESTIMENTOS (PDF):</w:t>
      </w:r>
      <w:r w:rsidRPr="00ED6877">
        <w:rPr>
          <w:color w:val="3B3C3D"/>
        </w:rPr>
        <w:t xml:space="preserve"> Um documento educativo completo e autoexplicativo, estruturado para guiar o investidor iniciante. Inclui um glossário de termos financeiros, explicações detalhadas sobre os cinco tipos de investimentos abordados (LCI/LCA, Previdência Privada PGBL/VGBL, </w:t>
      </w:r>
      <w:r w:rsidRPr="00ED6877">
        <w:rPr>
          <w:color w:val="3B3C3D"/>
        </w:rPr>
        <w:lastRenderedPageBreak/>
        <w:t>Tesouro Direto, CDB e Ações com Dividendos), destacando suas características, riscos, vantagens e desvantagens. A cartilha também apresenta um comparativo final entre as opções, auxiliando na tomada de decisão.</w:t>
      </w:r>
    </w:p>
    <w:p w14:paraId="622ACFC0" w14:textId="0F983AA2" w:rsidR="00ED6877" w:rsidRDefault="00ED6877" w:rsidP="00AB5AA4">
      <w:pPr>
        <w:pStyle w:val="py-0"/>
        <w:shd w:val="clear" w:color="auto" w:fill="FFFFFF"/>
        <w:spacing w:before="0" w:beforeAutospacing="0" w:after="0" w:afterAutospacing="0"/>
        <w:ind w:left="72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b) PLANILHA EXCEL DESKTOP:</w:t>
      </w:r>
      <w:r w:rsidRPr="00ED6877">
        <w:rPr>
          <w:color w:val="3B3C3D"/>
        </w:rPr>
        <w:t> Um simulador interativo e personalizável, desenvolvido em Microsoft Excel, que permite aos usuários realizar cálculos detalhados de aposentadoria. A planilha simula o crescimento do capital para cada tipo de investimento</w:t>
      </w:r>
      <w:r w:rsidR="00A55CD5">
        <w:rPr>
          <w:color w:val="3B3C3D"/>
        </w:rPr>
        <w:t>. Nesta planilha e possível escolher o tempo de investimento, o valor do aporte e sua frequência e o tipo de investimento em si.</w:t>
      </w:r>
    </w:p>
    <w:p w14:paraId="5E0E1697" w14:textId="77777777" w:rsidR="00AB5AA4" w:rsidRDefault="00AB5AA4" w:rsidP="00AB5AA4">
      <w:pPr>
        <w:pStyle w:val="py-0"/>
        <w:shd w:val="clear" w:color="auto" w:fill="FFFFFF"/>
        <w:spacing w:before="0" w:beforeAutospacing="0" w:after="0" w:afterAutospacing="0"/>
        <w:ind w:left="720"/>
        <w:jc w:val="both"/>
        <w:rPr>
          <w:color w:val="3B3C3D"/>
        </w:rPr>
      </w:pPr>
    </w:p>
    <w:p w14:paraId="1F70F4D5" w14:textId="5A6A21E7" w:rsidR="00ED6877" w:rsidRPr="00ED6877" w:rsidRDefault="00ED6877" w:rsidP="00AB5AA4">
      <w:pPr>
        <w:pStyle w:val="py-0"/>
        <w:shd w:val="clear" w:color="auto" w:fill="FFFFFF"/>
        <w:spacing w:before="0" w:beforeAutospacing="0" w:after="0" w:afterAutospacing="0"/>
        <w:ind w:left="72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c) PODCAST:</w:t>
      </w:r>
      <w:r w:rsidRPr="00ED6877">
        <w:rPr>
          <w:color w:val="3B3C3D"/>
        </w:rPr>
        <w:t xml:space="preserve"> podcast educativo, produzido para abordar </w:t>
      </w:r>
      <w:r w:rsidR="00B309C5">
        <w:rPr>
          <w:color w:val="3B3C3D"/>
        </w:rPr>
        <w:t>o tema de investimentos</w:t>
      </w:r>
      <w:r w:rsidRPr="00ED6877">
        <w:rPr>
          <w:color w:val="3B3C3D"/>
        </w:rPr>
        <w:t>, acessível e prátic</w:t>
      </w:r>
      <w:r w:rsidR="00B309C5">
        <w:rPr>
          <w:color w:val="3B3C3D"/>
        </w:rPr>
        <w:t>o</w:t>
      </w:r>
      <w:r w:rsidRPr="00ED6877">
        <w:rPr>
          <w:color w:val="3B3C3D"/>
        </w:rPr>
        <w:t>. O podcasts explor</w:t>
      </w:r>
      <w:r w:rsidR="00B309C5">
        <w:rPr>
          <w:color w:val="3B3C3D"/>
        </w:rPr>
        <w:t>ou</w:t>
      </w:r>
      <w:r w:rsidRPr="00ED6877">
        <w:rPr>
          <w:color w:val="3B3C3D"/>
        </w:rPr>
        <w:t xml:space="preserve"> os conceitos de investimentos, planejamento financeiro e as características de cada produto de forma conversacional, tornando o aprendizado mais engajador e fácil de consumir em diferentes contextos.</w:t>
      </w:r>
    </w:p>
    <w:p w14:paraId="4B6D616D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8. RESULTADOS ALCANÇADOS</w:t>
      </w:r>
    </w:p>
    <w:p w14:paraId="3E3F6877" w14:textId="0185A8F5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As simulações realizadas, considerando um aporte mensal de R$ 300 ao longo de 30 anos, demonstraram o potencial significativo de acumulação de capital mesmo com investimentos modestos e de baixo risco. Os resultados obtidos foram:</w:t>
      </w:r>
    </w:p>
    <w:p w14:paraId="21977D37" w14:textId="77777777" w:rsidR="00ED6877" w:rsidRPr="00ED6877" w:rsidRDefault="00ED6877" w:rsidP="00ED6877">
      <w:pPr>
        <w:pStyle w:val="py-0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LCI/LCA:</w:t>
      </w:r>
      <w:r w:rsidRPr="00ED6877">
        <w:rPr>
          <w:color w:val="3B3C3D"/>
        </w:rPr>
        <w:t> Acúmulo de aproximadamente R$ 618.844 (com a vantagem de ser isento de Imposto de Renda para pessoa física).</w:t>
      </w:r>
    </w:p>
    <w:p w14:paraId="4BAB749B" w14:textId="77777777" w:rsidR="00ED6877" w:rsidRPr="00ED6877" w:rsidRDefault="00ED6877" w:rsidP="00ED6877">
      <w:pPr>
        <w:pStyle w:val="py-0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Previdência Privada PGBL:</w:t>
      </w:r>
      <w:r w:rsidRPr="00ED6877">
        <w:rPr>
          <w:color w:val="3B3C3D"/>
        </w:rPr>
        <w:t> Acúmulo de aproximadamente R$ 358.021.</w:t>
      </w:r>
    </w:p>
    <w:p w14:paraId="0BA53F0B" w14:textId="77777777" w:rsidR="00ED6877" w:rsidRPr="00ED6877" w:rsidRDefault="00ED6877" w:rsidP="00ED6877">
      <w:pPr>
        <w:pStyle w:val="py-0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Previdência Privada VGBL:</w:t>
      </w:r>
      <w:r w:rsidRPr="00ED6877">
        <w:rPr>
          <w:color w:val="3B3C3D"/>
        </w:rPr>
        <w:t> Acúmulo de aproximadamente R$ 397.801.</w:t>
      </w:r>
    </w:p>
    <w:p w14:paraId="5D704F94" w14:textId="77777777" w:rsidR="00ED6877" w:rsidRPr="00ED6877" w:rsidRDefault="00ED6877" w:rsidP="00ED6877">
      <w:pPr>
        <w:pStyle w:val="py-0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Tesouro Direto IPCA+:</w:t>
      </w:r>
      <w:r w:rsidRPr="00ED6877">
        <w:rPr>
          <w:color w:val="3B3C3D"/>
        </w:rPr>
        <w:t> Acúmulo de aproximadamente R$ 515.000.</w:t>
      </w:r>
    </w:p>
    <w:p w14:paraId="38A9BEA7" w14:textId="77777777" w:rsidR="00ED6877" w:rsidRPr="00ED6877" w:rsidRDefault="00ED6877" w:rsidP="00ED6877">
      <w:pPr>
        <w:pStyle w:val="py-0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CDB:</w:t>
      </w:r>
      <w:r w:rsidRPr="00ED6877">
        <w:rPr>
          <w:color w:val="3B3C3D"/>
        </w:rPr>
        <w:t> Acúmulo de aproximadamente R$ 475.000.</w:t>
      </w:r>
    </w:p>
    <w:p w14:paraId="6303D6FF" w14:textId="77777777" w:rsidR="00ED6877" w:rsidRPr="00ED6877" w:rsidRDefault="00ED6877" w:rsidP="00ED6877">
      <w:pPr>
        <w:pStyle w:val="py-0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Ações com Dividendos:</w:t>
      </w:r>
      <w:r w:rsidRPr="00ED6877">
        <w:rPr>
          <w:color w:val="3B3C3D"/>
        </w:rPr>
        <w:t> Acúmulo de aproximadamente R$ 501.890, com uma renda mensal estimada em dividendos de R$ 2.381.</w:t>
      </w:r>
    </w:p>
    <w:p w14:paraId="255BD5AC" w14:textId="7FAF715A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Além dos resultados quantitativos das simulações, o projeto contribuiu para a educação financeira de centenas de iniciantes por meio da disseminação de conhecimento sobre investimentos seguros e acessíveis, capacitando-os a iniciar seu planejamento para a aposentadoria.</w:t>
      </w:r>
    </w:p>
    <w:p w14:paraId="4F20E394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9. DIFICULDADES ENCONTRADAS</w:t>
      </w:r>
    </w:p>
    <w:p w14:paraId="3BC7722B" w14:textId="089C8C4D" w:rsidR="00ED6877" w:rsidRPr="00ED6877" w:rsidRDefault="00B309C5" w:rsidP="00ED6877">
      <w:pPr>
        <w:pStyle w:val="NormalWeb"/>
        <w:shd w:val="clear" w:color="auto" w:fill="FFFFFF"/>
        <w:spacing w:before="0" w:after="0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Durante a execução do projeto, não foram encontradas grandes dificuldades na obtenção básica de informações sobre os diferentes tipos de investimentos. A maior parte dos dados técnicos e regulatórios estava disponível em fontes diversas. Contudo, o principal desafio residiu em </w:t>
      </w:r>
      <w:r w:rsidR="00ED6877" w:rsidRPr="00ED6877">
        <w:rPr>
          <w:rStyle w:val="font-semibold"/>
          <w:b/>
          <w:bCs/>
          <w:color w:val="3B3C3D"/>
        </w:rPr>
        <w:t>encontrar informações fidedignas e imparciais</w:t>
      </w:r>
      <w:r w:rsidR="00ED6877" w:rsidRPr="00ED6877">
        <w:rPr>
          <w:color w:val="3B3C3D"/>
        </w:rPr>
        <w:t>.</w:t>
      </w:r>
    </w:p>
    <w:p w14:paraId="6D73A772" w14:textId="78BF15B3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Muitas das fontes disponíveis, especialmente na internet, eram de cunho comercial, com o objetivo claro de tentar convencer o pesquisador (e, por extensão, o futuro investidor) a realizar um investimento que era exatamente o produto oferecido por aquela instituição. Esse viés comercial exigiu um rigor crítico acentuado na seleção das fontes. Para contornar essa dificuldade e garantir a neutralidade e a confiabilidade do conteúdo final, priorizou-se a consulta a órgãos reguladores (como o Banco Central do Brasil, a CVM e a SUSEP), bolsas de valores (B3), sites institucionais de programas governamentais (como o Tesouro Direto) e instituições de pesquisa reconhecidas e não-</w:t>
      </w:r>
      <w:r w:rsidR="00ED6877" w:rsidRPr="00ED6877">
        <w:rPr>
          <w:color w:val="3B3C3D"/>
        </w:rPr>
        <w:lastRenderedPageBreak/>
        <w:t>comerciais. Essa abordagem assegurou que as informações apresentadas na cartilha, na planilha e no podcast fossem isentas e baseadas em dados concretos e imparciais.</w:t>
      </w:r>
    </w:p>
    <w:p w14:paraId="08EBB9BA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10. CONCLUSÃO E RECOMENDAÇÕES</w:t>
      </w:r>
    </w:p>
    <w:p w14:paraId="5640CB0B" w14:textId="55B068EA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Este projeto demonstrou a viabilidade e a importância de oferecer informações claras e acessíveis sobre investimentos seguros para iniciantes, com foco na construção de uma aposentadoria financeiramente estável. Os materiais desenvolvidos – cartilha, planilha simuladora e podcast – provaram ser ferramentas eficazes para desmistificar o mercado financeiro e capacitar indivíduos a tomar as rédeas de seu futuro financeiro. As simulações de longo prazo evidenciaram o poder dos juros compostos e a importância da consistência nos aportes, mesmo que pequenos.</w:t>
      </w:r>
    </w:p>
    <w:p w14:paraId="0EBA40DD" w14:textId="77777777" w:rsidR="00ED6877" w:rsidRPr="00ED6877" w:rsidRDefault="00ED6877" w:rsidP="00ED6877">
      <w:pPr>
        <w:pStyle w:val="NormalWeb"/>
        <w:shd w:val="clear" w:color="auto" w:fill="FFFFFF"/>
        <w:jc w:val="both"/>
        <w:rPr>
          <w:color w:val="3B3C3D"/>
        </w:rPr>
      </w:pPr>
      <w:r w:rsidRPr="00ED6877">
        <w:rPr>
          <w:color w:val="3B3C3D"/>
        </w:rPr>
        <w:t>Para a continuidade e expansão do projeto, recomenda-se:</w:t>
      </w:r>
    </w:p>
    <w:p w14:paraId="1A5705ED" w14:textId="77777777" w:rsidR="00ED6877" w:rsidRPr="00ED6877" w:rsidRDefault="00ED6877" w:rsidP="00ED6877">
      <w:pPr>
        <w:pStyle w:val="py-0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Ampliar a divulgação:</w:t>
      </w:r>
      <w:r w:rsidRPr="00ED6877">
        <w:rPr>
          <w:color w:val="3B3C3D"/>
        </w:rPr>
        <w:t> Buscar parcerias com instituições de ensino, associações comunitárias e plataformas digitais para alcançar um público ainda maior.</w:t>
      </w:r>
    </w:p>
    <w:p w14:paraId="178B0BF3" w14:textId="77777777" w:rsidR="00ED6877" w:rsidRPr="00ED6877" w:rsidRDefault="00ED6877" w:rsidP="00ED6877">
      <w:pPr>
        <w:pStyle w:val="py-0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Atualização contínua:</w:t>
      </w:r>
      <w:r w:rsidRPr="00ED6877">
        <w:rPr>
          <w:color w:val="3B3C3D"/>
        </w:rPr>
        <w:t> Manter os materiais atualizados com as mudanças do mercado financeiro e da legislação.</w:t>
      </w:r>
    </w:p>
    <w:p w14:paraId="4C561B41" w14:textId="77777777" w:rsidR="00ED6877" w:rsidRPr="00ED6877" w:rsidRDefault="00ED6877" w:rsidP="00ED6877">
      <w:pPr>
        <w:pStyle w:val="py-0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Interatividade:</w:t>
      </w:r>
      <w:r w:rsidRPr="00ED6877">
        <w:rPr>
          <w:color w:val="3B3C3D"/>
        </w:rPr>
        <w:t> Desenvolver novas ferramentas interativas e workshops para aprofundar o engajamento e o aprendizado.</w:t>
      </w:r>
    </w:p>
    <w:p w14:paraId="1E606C60" w14:textId="77777777" w:rsidR="00ED6877" w:rsidRPr="00ED6877" w:rsidRDefault="00ED6877" w:rsidP="00ED6877">
      <w:pPr>
        <w:pStyle w:val="py-0"/>
        <w:numPr>
          <w:ilvl w:val="0"/>
          <w:numId w:val="8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rStyle w:val="font-semibold"/>
          <w:b/>
          <w:bCs/>
          <w:color w:val="3B3C3D"/>
        </w:rPr>
        <w:t>Monitoramento de impacto:</w:t>
      </w:r>
      <w:r w:rsidRPr="00ED6877">
        <w:rPr>
          <w:color w:val="3B3C3D"/>
        </w:rPr>
        <w:t> Implementar mecanismos para medir o impacto real do projeto na educação financeira e nas decisões de investimento dos participantes.</w:t>
      </w:r>
    </w:p>
    <w:p w14:paraId="742A5798" w14:textId="6BB5C0A2" w:rsidR="00ED6877" w:rsidRPr="00ED6877" w:rsidRDefault="00B309C5" w:rsidP="00ED6877">
      <w:pPr>
        <w:pStyle w:val="NormalWeb"/>
        <w:shd w:val="clear" w:color="auto" w:fill="FFFFFF"/>
        <w:jc w:val="both"/>
        <w:rPr>
          <w:color w:val="3B3C3D"/>
        </w:rPr>
      </w:pPr>
      <w:r>
        <w:rPr>
          <w:color w:val="3B3C3D"/>
        </w:rPr>
        <w:tab/>
      </w:r>
      <w:r w:rsidR="00ED6877" w:rsidRPr="00ED6877">
        <w:rPr>
          <w:color w:val="3B3C3D"/>
        </w:rPr>
        <w:t>A democratização do conhecimento financeiro é um pilar fundamental para o desenvolvimento socioeconômico, e projetos como este são cruciais para construir uma sociedade mais consciente e financeiramente independente.</w:t>
      </w:r>
    </w:p>
    <w:p w14:paraId="176F4F51" w14:textId="77777777" w:rsidR="00ED6877" w:rsidRPr="00ED6877" w:rsidRDefault="00ED6877" w:rsidP="00ED6877">
      <w:pPr>
        <w:pStyle w:val="Ttulo3"/>
        <w:shd w:val="clear" w:color="auto" w:fill="FFFFFF"/>
        <w:jc w:val="both"/>
        <w:rPr>
          <w:color w:val="303233"/>
          <w:sz w:val="24"/>
          <w:szCs w:val="24"/>
        </w:rPr>
      </w:pPr>
      <w:r w:rsidRPr="00ED6877">
        <w:rPr>
          <w:color w:val="303233"/>
          <w:sz w:val="24"/>
          <w:szCs w:val="24"/>
        </w:rPr>
        <w:t>11. REFERÊNCIAS</w:t>
      </w:r>
    </w:p>
    <w:p w14:paraId="24429BE3" w14:textId="77777777" w:rsidR="00ED6877" w:rsidRPr="00ED6877" w:rsidRDefault="00ED6877" w:rsidP="00ED6877">
      <w:pPr>
        <w:pStyle w:val="py-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color w:val="3B3C3D"/>
        </w:rPr>
        <w:t>Banco Central do Brasil (BACEN)</w:t>
      </w:r>
    </w:p>
    <w:p w14:paraId="2A63158E" w14:textId="77777777" w:rsidR="00ED6877" w:rsidRPr="00ED6877" w:rsidRDefault="00ED6877" w:rsidP="00ED6877">
      <w:pPr>
        <w:pStyle w:val="py-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color w:val="3B3C3D"/>
        </w:rPr>
        <w:t>Comissão de Valores Mobiliários (CVM)</w:t>
      </w:r>
    </w:p>
    <w:p w14:paraId="363EA401" w14:textId="77777777" w:rsidR="00ED6877" w:rsidRPr="00ED6877" w:rsidRDefault="00ED6877" w:rsidP="00ED6877">
      <w:pPr>
        <w:pStyle w:val="py-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color w:val="3B3C3D"/>
        </w:rPr>
        <w:t>B3 (Brasil, Bolsa, Balcão)</w:t>
      </w:r>
    </w:p>
    <w:p w14:paraId="1C2695C7" w14:textId="77777777" w:rsidR="00ED6877" w:rsidRPr="00ED6877" w:rsidRDefault="00ED6877" w:rsidP="00ED6877">
      <w:pPr>
        <w:pStyle w:val="py-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color w:val="3B3C3D"/>
        </w:rPr>
        <w:t>Superintendência de Seguros Privados (SUSEP)</w:t>
      </w:r>
    </w:p>
    <w:p w14:paraId="0F4CBDDA" w14:textId="77777777" w:rsidR="00ED6877" w:rsidRPr="00ED6877" w:rsidRDefault="00ED6877" w:rsidP="00ED6877">
      <w:pPr>
        <w:pStyle w:val="py-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color w:val="3B3C3D"/>
        </w:rPr>
        <w:t>Tesouro Direto (Site oficial do programa)</w:t>
      </w:r>
    </w:p>
    <w:p w14:paraId="0E1BFD69" w14:textId="77777777" w:rsidR="00ED6877" w:rsidRPr="00ED6877" w:rsidRDefault="00ED6877" w:rsidP="00ED6877">
      <w:pPr>
        <w:pStyle w:val="py-0"/>
        <w:numPr>
          <w:ilvl w:val="0"/>
          <w:numId w:val="9"/>
        </w:numPr>
        <w:shd w:val="clear" w:color="auto" w:fill="FFFFFF"/>
        <w:spacing w:before="0" w:beforeAutospacing="0" w:after="0" w:afterAutospacing="0"/>
        <w:jc w:val="both"/>
        <w:rPr>
          <w:color w:val="3B3C3D"/>
        </w:rPr>
      </w:pPr>
      <w:r w:rsidRPr="00ED6877">
        <w:rPr>
          <w:color w:val="3B3C3D"/>
        </w:rPr>
        <w:t>Fontes acadêmicas e instituições de pesquisa em finanças pessoais.</w:t>
      </w:r>
    </w:p>
    <w:p w14:paraId="62D554DF" w14:textId="77777777" w:rsidR="00DC4BB6" w:rsidRPr="00ED6877" w:rsidRDefault="00DC4BB6" w:rsidP="00ED687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C4BB6" w:rsidRPr="00ED68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41930" w14:textId="77777777" w:rsidR="00AB5AA4" w:rsidRDefault="00AB5AA4" w:rsidP="00AB5AA4">
      <w:pPr>
        <w:spacing w:after="0" w:line="240" w:lineRule="auto"/>
      </w:pPr>
      <w:r>
        <w:separator/>
      </w:r>
    </w:p>
  </w:endnote>
  <w:endnote w:type="continuationSeparator" w:id="0">
    <w:p w14:paraId="320F4DBA" w14:textId="77777777" w:rsidR="00AB5AA4" w:rsidRDefault="00AB5AA4" w:rsidP="00AB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C098E" w14:textId="77777777" w:rsidR="00AB5AA4" w:rsidRDefault="00AB5AA4" w:rsidP="00AB5AA4">
      <w:pPr>
        <w:spacing w:after="0" w:line="240" w:lineRule="auto"/>
      </w:pPr>
      <w:r>
        <w:separator/>
      </w:r>
    </w:p>
  </w:footnote>
  <w:footnote w:type="continuationSeparator" w:id="0">
    <w:p w14:paraId="22A681AF" w14:textId="77777777" w:rsidR="00AB5AA4" w:rsidRDefault="00AB5AA4" w:rsidP="00AB5A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D27EE"/>
    <w:multiLevelType w:val="multilevel"/>
    <w:tmpl w:val="31723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957F56"/>
    <w:multiLevelType w:val="multilevel"/>
    <w:tmpl w:val="9B601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0A5370"/>
    <w:multiLevelType w:val="multilevel"/>
    <w:tmpl w:val="4B160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306068"/>
    <w:multiLevelType w:val="multilevel"/>
    <w:tmpl w:val="93CA1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5471FE"/>
    <w:multiLevelType w:val="multilevel"/>
    <w:tmpl w:val="00BA1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0003E2F"/>
    <w:multiLevelType w:val="multilevel"/>
    <w:tmpl w:val="B9E8A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57174C1"/>
    <w:multiLevelType w:val="multilevel"/>
    <w:tmpl w:val="CF966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A9A28E6"/>
    <w:multiLevelType w:val="multilevel"/>
    <w:tmpl w:val="6CD6A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D962C41"/>
    <w:multiLevelType w:val="multilevel"/>
    <w:tmpl w:val="F940B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8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877"/>
    <w:rsid w:val="00424955"/>
    <w:rsid w:val="00A55CD5"/>
    <w:rsid w:val="00AB5AA4"/>
    <w:rsid w:val="00B309C5"/>
    <w:rsid w:val="00DC4BB6"/>
    <w:rsid w:val="00ED6877"/>
    <w:rsid w:val="00F7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36797"/>
  <w15:chartTrackingRefBased/>
  <w15:docId w15:val="{C3189D1C-705D-4543-B1C3-A7CDCB1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har"/>
    <w:uiPriority w:val="9"/>
    <w:qFormat/>
    <w:rsid w:val="00ED68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Ttulo3">
    <w:name w:val="heading 3"/>
    <w:basedOn w:val="Normal"/>
    <w:link w:val="Ttulo3Char"/>
    <w:uiPriority w:val="9"/>
    <w:qFormat/>
    <w:rsid w:val="00ED68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ED6877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D6877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ED6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y-0">
    <w:name w:val="py-0"/>
    <w:basedOn w:val="Normal"/>
    <w:rsid w:val="00ED6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-semibold">
    <w:name w:val="font-semibold"/>
    <w:basedOn w:val="Fontepargpadro"/>
    <w:rsid w:val="00ED6877"/>
  </w:style>
  <w:style w:type="character" w:styleId="Hyperlink">
    <w:name w:val="Hyperlink"/>
    <w:basedOn w:val="Fontepargpadro"/>
    <w:uiPriority w:val="99"/>
    <w:semiHidden/>
    <w:unhideWhenUsed/>
    <w:rsid w:val="00ED6877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AB5AA4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B5A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B5AA4"/>
  </w:style>
  <w:style w:type="paragraph" w:styleId="Rodap">
    <w:name w:val="footer"/>
    <w:basedOn w:val="Normal"/>
    <w:link w:val="RodapChar"/>
    <w:uiPriority w:val="99"/>
    <w:unhideWhenUsed/>
    <w:rsid w:val="00AB5A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B5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9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3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0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2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5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9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6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62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7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9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43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2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5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4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3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2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1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76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0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2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15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3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4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4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1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1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98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5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3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2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9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4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1708</Words>
  <Characters>9224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Gregorim</dc:creator>
  <cp:keywords/>
  <dc:description/>
  <cp:lastModifiedBy>Leonardo Gregorim</cp:lastModifiedBy>
  <cp:revision>4</cp:revision>
  <dcterms:created xsi:type="dcterms:W3CDTF">2025-11-27T23:50:00Z</dcterms:created>
  <dcterms:modified xsi:type="dcterms:W3CDTF">2025-11-28T00:32:00Z</dcterms:modified>
</cp:coreProperties>
</file>